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0"/>
        <w:gridCol w:w="6032"/>
      </w:tblGrid>
      <w:tr w:rsidR="004D1D85" w:rsidTr="00355305">
        <w:tc>
          <w:tcPr>
            <w:tcW w:w="9062" w:type="dxa"/>
            <w:gridSpan w:val="3"/>
            <w:shd w:val="clear" w:color="auto" w:fill="auto"/>
          </w:tcPr>
          <w:p w:rsidR="004D1D85" w:rsidRPr="005A11C4" w:rsidRDefault="004D1D85" w:rsidP="0035530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A11C4">
              <w:rPr>
                <w:b/>
                <w:sz w:val="28"/>
                <w:szCs w:val="28"/>
              </w:rPr>
              <w:t>Zioła/suplementy diety</w:t>
            </w:r>
          </w:p>
        </w:tc>
      </w:tr>
      <w:tr w:rsidR="004D1D85" w:rsidTr="00355305">
        <w:tc>
          <w:tcPr>
            <w:tcW w:w="3020" w:type="dxa"/>
            <w:shd w:val="clear" w:color="auto" w:fill="C6D9F1"/>
          </w:tcPr>
          <w:p w:rsidR="004D1D85" w:rsidRPr="005A11C4" w:rsidRDefault="004D1D85" w:rsidP="00355305">
            <w:pPr>
              <w:jc w:val="center"/>
              <w:rPr>
                <w:b/>
                <w:sz w:val="28"/>
                <w:szCs w:val="28"/>
              </w:rPr>
            </w:pPr>
            <w:r w:rsidRPr="005A11C4">
              <w:rPr>
                <w:b/>
                <w:sz w:val="28"/>
                <w:szCs w:val="28"/>
              </w:rPr>
              <w:t>Czynnik interferujący</w:t>
            </w:r>
          </w:p>
        </w:tc>
        <w:tc>
          <w:tcPr>
            <w:tcW w:w="6042" w:type="dxa"/>
            <w:gridSpan w:val="2"/>
            <w:shd w:val="clear" w:color="auto" w:fill="C6D9F1"/>
          </w:tcPr>
          <w:p w:rsidR="004D1D85" w:rsidRPr="005A11C4" w:rsidRDefault="004D1D85" w:rsidP="00355305">
            <w:pPr>
              <w:jc w:val="center"/>
              <w:rPr>
                <w:b/>
                <w:sz w:val="28"/>
                <w:szCs w:val="28"/>
              </w:rPr>
            </w:pPr>
            <w:r w:rsidRPr="005A11C4">
              <w:rPr>
                <w:b/>
                <w:sz w:val="28"/>
                <w:szCs w:val="28"/>
              </w:rPr>
              <w:t>Wpływ na badanie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Default="004D1D85" w:rsidP="00355305">
            <w:r>
              <w:t>Dziurawiec zwyczajny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↓ INR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Default="004D1D85" w:rsidP="00355305">
            <w:r>
              <w:t xml:space="preserve">Żeń – </w:t>
            </w:r>
            <w:proofErr w:type="spellStart"/>
            <w:r>
              <w:t>szeń</w:t>
            </w:r>
            <w:proofErr w:type="spellEnd"/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↓ INR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Default="004D1D85" w:rsidP="00355305">
            <w:r>
              <w:t>Białko soi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↓ INR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Default="004D1D85" w:rsidP="00355305">
            <w:r>
              <w:t>Imbir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↑ INR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Default="004D1D85" w:rsidP="00355305">
            <w:r>
              <w:t xml:space="preserve">Szałwia </w:t>
            </w:r>
            <w:proofErr w:type="spellStart"/>
            <w:r>
              <w:t>czeronokorzeniowa</w:t>
            </w:r>
            <w:proofErr w:type="spellEnd"/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↑ INR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Default="004D1D85" w:rsidP="00355305">
            <w:r>
              <w:t>Dzięgiel chiński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↑ INR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Default="004D1D85" w:rsidP="00355305">
            <w:r>
              <w:t>Kolcowój zwyczajny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↑ INR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Default="004D1D85" w:rsidP="00355305">
            <w:r>
              <w:t>Rumianek pospolity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↑ INR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Default="004D1D85" w:rsidP="00355305">
            <w:r>
              <w:t>Mleczko pszczele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↑ INR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Pr="005A11C4" w:rsidRDefault="004D1D85" w:rsidP="00355305">
            <w:pPr>
              <w:rPr>
                <w:i/>
              </w:rPr>
            </w:pPr>
            <w:proofErr w:type="spellStart"/>
            <w:r w:rsidRPr="005A11C4">
              <w:rPr>
                <w:i/>
              </w:rPr>
              <w:t>Kava</w:t>
            </w:r>
            <w:proofErr w:type="spellEnd"/>
            <w:r w:rsidRPr="005A11C4">
              <w:rPr>
                <w:i/>
              </w:rPr>
              <w:t xml:space="preserve"> </w:t>
            </w:r>
            <w:proofErr w:type="spellStart"/>
            <w:r w:rsidRPr="005A11C4">
              <w:rPr>
                <w:i/>
              </w:rPr>
              <w:t>Kava</w:t>
            </w:r>
            <w:proofErr w:type="spellEnd"/>
            <w:r w:rsidRPr="005A11C4">
              <w:rPr>
                <w:i/>
              </w:rPr>
              <w:t xml:space="preserve"> 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↑Bilirubina całkowita, ↑AST, ↑ALT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Pr="005A11C4" w:rsidRDefault="004D1D85" w:rsidP="00355305">
            <w:pPr>
              <w:rPr>
                <w:i/>
              </w:rPr>
            </w:pPr>
            <w:proofErr w:type="spellStart"/>
            <w:r w:rsidRPr="005A11C4">
              <w:rPr>
                <w:i/>
              </w:rPr>
              <w:t>Aristolchia</w:t>
            </w:r>
            <w:proofErr w:type="spellEnd"/>
            <w:r w:rsidRPr="005A11C4">
              <w:rPr>
                <w:i/>
              </w:rPr>
              <w:t xml:space="preserve"> Fang Chi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↑Kreatynina, ↑BUN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Pr="005A11C4" w:rsidRDefault="004D1D85" w:rsidP="00355305">
            <w:pPr>
              <w:rPr>
                <w:i/>
              </w:rPr>
            </w:pPr>
            <w:r w:rsidRPr="005A11C4">
              <w:rPr>
                <w:i/>
              </w:rPr>
              <w:t>Glistnik jaskółcze ziele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↑ALT, ↑AST, ↑GGT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Default="004D1D85" w:rsidP="00355305">
            <w:r>
              <w:t>Ożanka właściwa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↑ALT, ↑AST, ↑GGT, ↑Bilirubina całkowita, ↑ALP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Pr="005A11C4" w:rsidRDefault="004D1D85" w:rsidP="00355305">
            <w:pPr>
              <w:rPr>
                <w:i/>
              </w:rPr>
            </w:pPr>
            <w:proofErr w:type="spellStart"/>
            <w:r w:rsidRPr="005A11C4">
              <w:rPr>
                <w:i/>
              </w:rPr>
              <w:t>Mustica</w:t>
            </w:r>
            <w:proofErr w:type="spellEnd"/>
            <w:r w:rsidRPr="005A11C4">
              <w:rPr>
                <w:i/>
              </w:rPr>
              <w:t xml:space="preserve"> Deva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↑Cholesterol całkowity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Pr="005A11C4" w:rsidRDefault="004D1D85" w:rsidP="00355305">
            <w:pPr>
              <w:rPr>
                <w:i/>
              </w:rPr>
            </w:pPr>
            <w:r w:rsidRPr="005A11C4">
              <w:rPr>
                <w:i/>
              </w:rPr>
              <w:t>Raya-</w:t>
            </w:r>
            <w:proofErr w:type="spellStart"/>
            <w:r w:rsidRPr="005A11C4">
              <w:rPr>
                <w:i/>
              </w:rPr>
              <w:t>Syifa</w:t>
            </w:r>
            <w:proofErr w:type="spellEnd"/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↑kortyzol całkowity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Pr="005A11C4" w:rsidRDefault="004D1D85" w:rsidP="00355305">
            <w:pPr>
              <w:rPr>
                <w:i/>
              </w:rPr>
            </w:pPr>
            <w:r w:rsidRPr="005A11C4">
              <w:rPr>
                <w:i/>
              </w:rPr>
              <w:t xml:space="preserve">Kelp 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↑T3, ↑T4, ↓TSH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Default="004D1D85" w:rsidP="00355305">
            <w:r>
              <w:t>Lukrecja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Default="004D1D85" w:rsidP="00355305">
            <w:r>
              <w:t>↓Potas, ↑wolny kortyzol, ↓aldosteron, ↑INR</w:t>
            </w:r>
          </w:p>
        </w:tc>
      </w:tr>
      <w:tr w:rsidR="004D1D85" w:rsidTr="00355305">
        <w:tc>
          <w:tcPr>
            <w:tcW w:w="3020" w:type="dxa"/>
            <w:shd w:val="clear" w:color="auto" w:fill="auto"/>
          </w:tcPr>
          <w:p w:rsidR="004D1D85" w:rsidRDefault="004D1D85" w:rsidP="00355305">
            <w:r>
              <w:t>Biotyna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Pr="005A11C4" w:rsidRDefault="004D1D85" w:rsidP="00355305">
            <w:pPr>
              <w:pStyle w:val="NormalnyWeb"/>
              <w:jc w:val="both"/>
              <w:rPr>
                <w:rFonts w:ascii="Calibri" w:hAnsi="Calibri"/>
                <w:sz w:val="20"/>
                <w:szCs w:val="20"/>
              </w:rPr>
            </w:pPr>
            <w:r w:rsidRPr="005A11C4">
              <w:rPr>
                <w:rFonts w:ascii="Calibri" w:hAnsi="Calibri"/>
                <w:sz w:val="20"/>
                <w:szCs w:val="20"/>
              </w:rPr>
              <w:t xml:space="preserve">Nadmierne stężenie biotyny w próbce krwi może powodować interferencję w testach immunoenzymatycznych, ponieważ w wielu z nich biotyna jest składnikiem odczynników stosowanych w metodyce oznaczeń. Podwyższone stężenie biotyny we krwi w wyniku przyjmowania suplementów diety, może blokować wiązanie innych substancji, przez co ich pomiar nie będzie dokładny. Większość opublikowanych badań dotyczących </w:t>
            </w:r>
            <w:r w:rsidRPr="005A11C4">
              <w:rPr>
                <w:rFonts w:ascii="Calibri" w:hAnsi="Calibri"/>
                <w:color w:val="000000"/>
                <w:sz w:val="20"/>
                <w:szCs w:val="20"/>
              </w:rPr>
              <w:t xml:space="preserve">interferencji  biotyny  dotyczy oznaczeń hormonów, takich jak </w:t>
            </w:r>
            <w:hyperlink r:id="rId5" w:history="1">
              <w:proofErr w:type="spellStart"/>
              <w:r w:rsidRPr="005A11C4">
                <w:rPr>
                  <w:rStyle w:val="Hipercze"/>
                  <w:rFonts w:ascii="Calibri" w:hAnsi="Calibri"/>
                  <w:color w:val="000000"/>
                  <w:sz w:val="20"/>
                  <w:szCs w:val="20"/>
                </w:rPr>
                <w:t>parathohormon</w:t>
              </w:r>
              <w:proofErr w:type="spellEnd"/>
              <w:r w:rsidRPr="005A11C4">
                <w:rPr>
                  <w:rStyle w:val="Hipercze"/>
                  <w:rFonts w:ascii="Calibri" w:hAnsi="Calibri"/>
                  <w:color w:val="000000"/>
                  <w:sz w:val="20"/>
                  <w:szCs w:val="20"/>
                </w:rPr>
                <w:t xml:space="preserve"> (PTH)</w:t>
              </w:r>
            </w:hyperlink>
            <w:r w:rsidRPr="005A11C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Pr="005A11C4">
                <w:rPr>
                  <w:rStyle w:val="Hipercze"/>
                  <w:rFonts w:ascii="Calibri" w:hAnsi="Calibri"/>
                  <w:color w:val="000000"/>
                  <w:sz w:val="20"/>
                  <w:szCs w:val="20"/>
                </w:rPr>
                <w:t>tyreotropina (TSH)</w:t>
              </w:r>
            </w:hyperlink>
            <w:r w:rsidRPr="005A11C4">
              <w:rPr>
                <w:rFonts w:ascii="Calibri" w:hAnsi="Calibri"/>
                <w:color w:val="000000"/>
                <w:sz w:val="20"/>
                <w:szCs w:val="20"/>
              </w:rPr>
              <w:t>, f</w:t>
            </w:r>
            <w:hyperlink r:id="rId7" w:history="1">
              <w:r w:rsidRPr="005A11C4">
                <w:rPr>
                  <w:rStyle w:val="Hipercze"/>
                  <w:rFonts w:ascii="Calibri" w:hAnsi="Calibri"/>
                  <w:color w:val="000000"/>
                  <w:sz w:val="20"/>
                  <w:szCs w:val="20"/>
                </w:rPr>
                <w:t>T4</w:t>
              </w:r>
            </w:hyperlink>
            <w:r w:rsidRPr="005A11C4">
              <w:rPr>
                <w:rFonts w:ascii="Calibri" w:hAnsi="Calibri"/>
                <w:color w:val="000000"/>
                <w:sz w:val="20"/>
                <w:szCs w:val="20"/>
              </w:rPr>
              <w:t>i f</w:t>
            </w:r>
            <w:hyperlink r:id="rId8" w:history="1">
              <w:r w:rsidRPr="005A11C4">
                <w:rPr>
                  <w:rStyle w:val="Hipercze"/>
                  <w:rFonts w:ascii="Calibri" w:hAnsi="Calibri"/>
                  <w:color w:val="000000"/>
                  <w:sz w:val="20"/>
                  <w:szCs w:val="20"/>
                </w:rPr>
                <w:t>T3</w:t>
              </w:r>
            </w:hyperlink>
            <w:r w:rsidRPr="005A11C4">
              <w:rPr>
                <w:rStyle w:val="Hipercze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A11C4">
              <w:rPr>
                <w:rFonts w:ascii="Calibri" w:hAnsi="Calibri"/>
                <w:color w:val="000000"/>
                <w:sz w:val="20"/>
                <w:szCs w:val="20"/>
              </w:rPr>
              <w:t xml:space="preserve">oraz oznaczeń </w:t>
            </w:r>
            <w:proofErr w:type="spellStart"/>
            <w:r w:rsidRPr="005A11C4">
              <w:rPr>
                <w:rFonts w:ascii="Calibri" w:hAnsi="Calibri"/>
                <w:color w:val="000000"/>
                <w:sz w:val="20"/>
                <w:szCs w:val="20"/>
              </w:rPr>
              <w:t>troponiny</w:t>
            </w:r>
            <w:proofErr w:type="spellEnd"/>
            <w:r w:rsidRPr="005A11C4">
              <w:rPr>
                <w:rFonts w:ascii="Calibri" w:hAnsi="Calibri"/>
                <w:color w:val="000000"/>
                <w:sz w:val="20"/>
                <w:szCs w:val="20"/>
              </w:rPr>
              <w:t xml:space="preserve">. Ponieważ, biotyna jest składnikiem  odczynników stosowanych </w:t>
            </w:r>
            <w:r w:rsidRPr="005A11C4">
              <w:rPr>
                <w:rFonts w:ascii="Calibri" w:hAnsi="Calibri"/>
                <w:sz w:val="20"/>
                <w:szCs w:val="20"/>
              </w:rPr>
              <w:t>w wielu  testach immunoenzymatycznych, naukowcy podejrzewają, że może być przyczyną interferencji nie tylko w tych wymienionych powyżej.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Default="004D1D85" w:rsidP="00355305">
            <w:r>
              <w:t>Zielona herbata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Pr="005A11C4" w:rsidRDefault="004D1D85" w:rsidP="00355305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  <w:r w:rsidRPr="005A11C4">
              <w:rPr>
                <w:rFonts w:ascii="Calibri" w:hAnsi="Calibri"/>
                <w:sz w:val="22"/>
                <w:szCs w:val="22"/>
              </w:rPr>
              <w:t>↑Hematokryt, ↑Hemoglobina, ↑Potas</w:t>
            </w:r>
          </w:p>
        </w:tc>
      </w:tr>
      <w:tr w:rsidR="004D1D85" w:rsidTr="00355305">
        <w:trPr>
          <w:trHeight w:hRule="exact" w:val="284"/>
        </w:trPr>
        <w:tc>
          <w:tcPr>
            <w:tcW w:w="3020" w:type="dxa"/>
            <w:shd w:val="clear" w:color="auto" w:fill="auto"/>
          </w:tcPr>
          <w:p w:rsidR="004D1D85" w:rsidRDefault="004D1D85" w:rsidP="00355305">
            <w:r>
              <w:t>Dożylne wlewy EDTA</w:t>
            </w:r>
          </w:p>
        </w:tc>
        <w:tc>
          <w:tcPr>
            <w:tcW w:w="6042" w:type="dxa"/>
            <w:gridSpan w:val="2"/>
            <w:shd w:val="clear" w:color="auto" w:fill="auto"/>
          </w:tcPr>
          <w:p w:rsidR="004D1D85" w:rsidRPr="005A11C4" w:rsidRDefault="004D1D85" w:rsidP="00355305">
            <w:pPr>
              <w:pStyle w:val="NormalnyWeb"/>
              <w:rPr>
                <w:rFonts w:ascii="Calibri" w:hAnsi="Calibri"/>
                <w:sz w:val="22"/>
                <w:szCs w:val="22"/>
              </w:rPr>
            </w:pPr>
            <w:r>
              <w:t>↓</w:t>
            </w:r>
            <w:r w:rsidRPr="005A11C4">
              <w:rPr>
                <w:rFonts w:ascii="Calibri" w:hAnsi="Calibri"/>
                <w:sz w:val="22"/>
                <w:szCs w:val="22"/>
              </w:rPr>
              <w:t>Wapń</w:t>
            </w:r>
          </w:p>
        </w:tc>
      </w:tr>
      <w:tr w:rsidR="004D1D85" w:rsidTr="00355305">
        <w:tc>
          <w:tcPr>
            <w:tcW w:w="9062" w:type="dxa"/>
            <w:gridSpan w:val="3"/>
            <w:shd w:val="clear" w:color="auto" w:fill="auto"/>
          </w:tcPr>
          <w:p w:rsidR="004D1D85" w:rsidRPr="005A11C4" w:rsidRDefault="004D1D85" w:rsidP="00355305">
            <w:pPr>
              <w:jc w:val="center"/>
              <w:rPr>
                <w:b/>
              </w:rPr>
            </w:pPr>
            <w:r w:rsidRPr="005A11C4">
              <w:rPr>
                <w:b/>
              </w:rPr>
              <w:t>Dieta/Styl życia</w:t>
            </w:r>
          </w:p>
        </w:tc>
      </w:tr>
      <w:tr w:rsidR="004D1D85" w:rsidRPr="00B9497C" w:rsidTr="00355305">
        <w:trPr>
          <w:trHeight w:hRule="exact" w:val="284"/>
        </w:trPr>
        <w:tc>
          <w:tcPr>
            <w:tcW w:w="3030" w:type="dxa"/>
            <w:gridSpan w:val="2"/>
            <w:shd w:val="clear" w:color="auto" w:fill="auto"/>
          </w:tcPr>
          <w:p w:rsidR="004D1D85" w:rsidRPr="00B9497C" w:rsidRDefault="004D1D85" w:rsidP="00355305">
            <w:r w:rsidRPr="00B9497C">
              <w:t>Stres</w:t>
            </w:r>
          </w:p>
        </w:tc>
        <w:tc>
          <w:tcPr>
            <w:tcW w:w="6032" w:type="dxa"/>
            <w:shd w:val="clear" w:color="auto" w:fill="auto"/>
          </w:tcPr>
          <w:p w:rsidR="004D1D85" w:rsidRPr="005A11C4" w:rsidRDefault="004D1D85" w:rsidP="00355305">
            <w:pPr>
              <w:rPr>
                <w:rFonts w:eastAsia="Times New Roman"/>
                <w:lang w:eastAsia="pl-PL"/>
              </w:rPr>
            </w:pPr>
            <w:r w:rsidRPr="00B9497C">
              <w:t>↑</w:t>
            </w:r>
            <w:r w:rsidRPr="005A11C4">
              <w:rPr>
                <w:rFonts w:eastAsia="Times New Roman"/>
                <w:lang w:eastAsia="pl-PL"/>
              </w:rPr>
              <w:t xml:space="preserve">ACTH, </w:t>
            </w:r>
            <w:r w:rsidRPr="00B9497C">
              <w:t>↑</w:t>
            </w:r>
            <w:r w:rsidRPr="005A11C4">
              <w:rPr>
                <w:rFonts w:eastAsia="Times New Roman"/>
                <w:lang w:eastAsia="pl-PL"/>
              </w:rPr>
              <w:t xml:space="preserve">Kortyzol, </w:t>
            </w:r>
            <w:r w:rsidRPr="00B9497C">
              <w:t>↑</w:t>
            </w:r>
            <w:r w:rsidRPr="005A11C4">
              <w:rPr>
                <w:rFonts w:eastAsia="Times New Roman"/>
                <w:lang w:eastAsia="pl-PL"/>
              </w:rPr>
              <w:t xml:space="preserve">PRL, </w:t>
            </w:r>
            <w:r w:rsidRPr="00B9497C">
              <w:t>↑</w:t>
            </w:r>
            <w:r w:rsidRPr="005A11C4">
              <w:rPr>
                <w:rFonts w:eastAsia="Times New Roman"/>
                <w:lang w:eastAsia="pl-PL"/>
              </w:rPr>
              <w:t>GH</w:t>
            </w:r>
          </w:p>
        </w:tc>
      </w:tr>
      <w:tr w:rsidR="004D1D85" w:rsidRPr="00B9497C" w:rsidTr="00355305">
        <w:trPr>
          <w:trHeight w:hRule="exact" w:val="558"/>
        </w:trPr>
        <w:tc>
          <w:tcPr>
            <w:tcW w:w="3030" w:type="dxa"/>
            <w:gridSpan w:val="2"/>
            <w:shd w:val="clear" w:color="auto" w:fill="auto"/>
          </w:tcPr>
          <w:p w:rsidR="004D1D85" w:rsidRPr="00B9497C" w:rsidRDefault="004D1D85" w:rsidP="00355305">
            <w:r>
              <w:t>Dieta wysokobiałkowa</w:t>
            </w:r>
          </w:p>
        </w:tc>
        <w:tc>
          <w:tcPr>
            <w:tcW w:w="6032" w:type="dxa"/>
            <w:shd w:val="clear" w:color="auto" w:fill="auto"/>
          </w:tcPr>
          <w:p w:rsidR="004D1D85" w:rsidRPr="00B9497C" w:rsidRDefault="004D1D85" w:rsidP="00355305">
            <w:pPr>
              <w:spacing w:line="240" w:lineRule="auto"/>
            </w:pPr>
            <w:r>
              <w:t xml:space="preserve">↓SHBG, </w:t>
            </w:r>
            <w:r w:rsidRPr="00B9497C">
              <w:t>↑</w:t>
            </w:r>
            <w:r>
              <w:t xml:space="preserve">wolny testosteron, </w:t>
            </w:r>
            <w:r w:rsidRPr="00B9497C">
              <w:t>↑</w:t>
            </w:r>
            <w:r>
              <w:t xml:space="preserve">OB, </w:t>
            </w:r>
            <w:r w:rsidRPr="00B9497C">
              <w:t>↑</w:t>
            </w:r>
            <w:r>
              <w:t xml:space="preserve">mocznik, </w:t>
            </w:r>
            <w:r w:rsidRPr="00B9497C">
              <w:t>↑</w:t>
            </w:r>
            <w:r>
              <w:t xml:space="preserve">kreatynina, </w:t>
            </w:r>
            <w:r w:rsidRPr="00B9497C">
              <w:t>↑</w:t>
            </w:r>
            <w:r>
              <w:t xml:space="preserve">kwas moczowy, </w:t>
            </w:r>
            <w:r w:rsidRPr="00B9497C">
              <w:t>↑</w:t>
            </w:r>
            <w:r>
              <w:t>amoniak</w:t>
            </w:r>
          </w:p>
        </w:tc>
      </w:tr>
      <w:tr w:rsidR="004D1D85" w:rsidRPr="00B9497C" w:rsidTr="00355305">
        <w:trPr>
          <w:trHeight w:hRule="exact" w:val="548"/>
        </w:trPr>
        <w:tc>
          <w:tcPr>
            <w:tcW w:w="3030" w:type="dxa"/>
            <w:gridSpan w:val="2"/>
            <w:shd w:val="clear" w:color="auto" w:fill="auto"/>
          </w:tcPr>
          <w:p w:rsidR="004D1D85" w:rsidRDefault="004D1D85" w:rsidP="00355305">
            <w:r>
              <w:t>Dieta niskobiałkowa</w:t>
            </w:r>
          </w:p>
        </w:tc>
        <w:tc>
          <w:tcPr>
            <w:tcW w:w="6032" w:type="dxa"/>
            <w:shd w:val="clear" w:color="auto" w:fill="auto"/>
          </w:tcPr>
          <w:p w:rsidR="004D1D85" w:rsidRPr="00B9497C" w:rsidRDefault="004D1D85" w:rsidP="00355305">
            <w:pPr>
              <w:spacing w:after="0" w:line="240" w:lineRule="auto"/>
            </w:pPr>
            <w:r w:rsidRPr="00B9497C">
              <w:t>↑</w:t>
            </w:r>
            <w:r>
              <w:t xml:space="preserve">SHBG, ↓ wolny testosteron↓ </w:t>
            </w:r>
            <w:proofErr w:type="spellStart"/>
            <w:r>
              <w:t>prealbuminy</w:t>
            </w:r>
            <w:proofErr w:type="spellEnd"/>
            <w:r>
              <w:t>, ↓białko wiążące retinol, ↓kreatyniny</w:t>
            </w:r>
          </w:p>
        </w:tc>
      </w:tr>
      <w:tr w:rsidR="004D1D85" w:rsidRPr="00B9497C" w:rsidTr="00355305">
        <w:trPr>
          <w:trHeight w:hRule="exact" w:val="272"/>
        </w:trPr>
        <w:tc>
          <w:tcPr>
            <w:tcW w:w="3030" w:type="dxa"/>
            <w:gridSpan w:val="2"/>
            <w:shd w:val="clear" w:color="auto" w:fill="auto"/>
          </w:tcPr>
          <w:p w:rsidR="004D1D85" w:rsidRDefault="004D1D85" w:rsidP="00355305">
            <w:r>
              <w:t>Dieta wegetariańska/wegańska</w:t>
            </w:r>
          </w:p>
        </w:tc>
        <w:tc>
          <w:tcPr>
            <w:tcW w:w="6032" w:type="dxa"/>
            <w:shd w:val="clear" w:color="auto" w:fill="auto"/>
          </w:tcPr>
          <w:p w:rsidR="004D1D85" w:rsidRPr="00B9497C" w:rsidRDefault="004D1D85" w:rsidP="00355305">
            <w:r w:rsidRPr="00B9497C">
              <w:t>↑</w:t>
            </w:r>
            <w:r>
              <w:t>SHBG, ↓ wolny testosteron, ↓ białko całkowite, ↓mocznik</w:t>
            </w:r>
          </w:p>
        </w:tc>
      </w:tr>
    </w:tbl>
    <w:p w:rsidR="004D1D85" w:rsidRDefault="004D1D85" w:rsidP="004D1D85">
      <w:pPr>
        <w:spacing w:after="0" w:line="240" w:lineRule="auto"/>
        <w:jc w:val="right"/>
        <w:rPr>
          <w:i/>
        </w:rPr>
      </w:pPr>
      <w:proofErr w:type="spellStart"/>
      <w:r w:rsidRPr="00D4065A">
        <w:rPr>
          <w:i/>
        </w:rPr>
        <w:t>Pharmacol</w:t>
      </w:r>
      <w:proofErr w:type="spellEnd"/>
      <w:r w:rsidRPr="00D4065A">
        <w:rPr>
          <w:i/>
        </w:rPr>
        <w:t xml:space="preserve"> Res 2017: 118: 82-92.</w:t>
      </w:r>
    </w:p>
    <w:p w:rsidR="004D1D85" w:rsidRDefault="004D1D85" w:rsidP="004D1D85">
      <w:pPr>
        <w:spacing w:after="0" w:line="240" w:lineRule="auto"/>
        <w:jc w:val="right"/>
      </w:pPr>
      <w:r>
        <w:rPr>
          <w:i/>
        </w:rPr>
        <w:t>Medycyna po Dyplomie 2016: 108-113</w:t>
      </w:r>
      <w:r>
        <w:t>.</w:t>
      </w:r>
    </w:p>
    <w:p w:rsidR="00756DE6" w:rsidRDefault="00756DE6"/>
    <w:sectPr w:rsidR="00756DE6" w:rsidSect="005B10A7">
      <w:pgSz w:w="11906" w:h="16838" w:code="9"/>
      <w:pgMar w:top="1417" w:right="1417" w:bottom="1417" w:left="1417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85"/>
    <w:rsid w:val="002E425E"/>
    <w:rsid w:val="004D1D85"/>
    <w:rsid w:val="005B10A7"/>
    <w:rsid w:val="00756DE6"/>
    <w:rsid w:val="008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1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D1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1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D1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testsonline.org/tests/free-t3-and-total-t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btestsonline.org/tests/free-t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abtestsonline.org/tests/thyroid-stimulating-hormone-tsh" TargetMode="External"/><Relationship Id="rId5" Type="http://schemas.openxmlformats.org/officeDocument/2006/relationships/hyperlink" Target="https://labtestsonline.org/tests/parathyroid-hormone-p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Jabłonowska</dc:creator>
  <cp:lastModifiedBy>B.Peksa</cp:lastModifiedBy>
  <cp:revision>2</cp:revision>
  <dcterms:created xsi:type="dcterms:W3CDTF">2018-08-24T18:15:00Z</dcterms:created>
  <dcterms:modified xsi:type="dcterms:W3CDTF">2018-08-24T18:15:00Z</dcterms:modified>
</cp:coreProperties>
</file>